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5F169" w14:textId="77777777" w:rsidR="00A160B2" w:rsidRDefault="00A160B2" w:rsidP="00A160B2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2770095F" wp14:editId="10243F1B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20" w:firstRow="1" w:lastRow="0" w:firstColumn="0" w:lastColumn="0" w:noHBand="0" w:noVBand="0"/>
        <w:tblCaption w:val="Cabinet report summary details"/>
      </w:tblPr>
      <w:tblGrid>
        <w:gridCol w:w="3388"/>
        <w:gridCol w:w="4921"/>
      </w:tblGrid>
      <w:tr w:rsidR="007E1DF8" w14:paraId="64763F04" w14:textId="77777777" w:rsidTr="00092C63">
        <w:trPr>
          <w:tblHeader/>
        </w:trPr>
        <w:tc>
          <w:tcPr>
            <w:tcW w:w="3388" w:type="dxa"/>
            <w:tcBorders>
              <w:bottom w:val="single" w:sz="18" w:space="0" w:color="auto"/>
            </w:tcBorders>
          </w:tcPr>
          <w:p w14:paraId="03AAEF70" w14:textId="0EE522F4" w:rsidR="007E1DF8" w:rsidRPr="00B805DB" w:rsidRDefault="007E1DF8" w:rsidP="007E1DF8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4921" w:type="dxa"/>
            <w:tcBorders>
              <w:bottom w:val="single" w:sz="18" w:space="0" w:color="auto"/>
            </w:tcBorders>
          </w:tcPr>
          <w:p w14:paraId="74A7B6FA" w14:textId="77777777" w:rsidR="007E1DF8" w:rsidRDefault="007E1DF8" w:rsidP="007E1DF8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  <w:r>
              <w:rPr>
                <w:rFonts w:ascii="Arial Black" w:hAnsi="Arial Black" w:cs="Arial"/>
                <w:sz w:val="36"/>
                <w:szCs w:val="36"/>
              </w:rPr>
              <w:t>Council</w:t>
            </w:r>
          </w:p>
          <w:p w14:paraId="38CE7BF5" w14:textId="5FE87A46" w:rsidR="007E1DF8" w:rsidRPr="00A160B2" w:rsidRDefault="007E1DF8" w:rsidP="007E1DF8">
            <w:pPr>
              <w:pStyle w:val="Heading1"/>
              <w:outlineLvl w:val="0"/>
              <w:rPr>
                <w:color w:val="0000FF"/>
                <w:szCs w:val="24"/>
              </w:rPr>
            </w:pPr>
          </w:p>
        </w:tc>
      </w:tr>
      <w:tr w:rsidR="007E1DF8" w14:paraId="16A514FC" w14:textId="77777777" w:rsidTr="00092C63">
        <w:tc>
          <w:tcPr>
            <w:tcW w:w="3388" w:type="dxa"/>
            <w:tcBorders>
              <w:top w:val="single" w:sz="18" w:space="0" w:color="auto"/>
            </w:tcBorders>
          </w:tcPr>
          <w:p w14:paraId="275C7491" w14:textId="77777777" w:rsidR="007E1DF8" w:rsidRPr="00F92398" w:rsidRDefault="007E1DF8" w:rsidP="007E1DF8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20F098AC" w14:textId="77777777" w:rsidR="007E1DF8" w:rsidRPr="00F92398" w:rsidRDefault="007E1DF8" w:rsidP="007E1DF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  <w:tcBorders>
              <w:top w:val="single" w:sz="18" w:space="0" w:color="auto"/>
            </w:tcBorders>
          </w:tcPr>
          <w:p w14:paraId="491DC897" w14:textId="128F6389" w:rsidR="007E1DF8" w:rsidRDefault="006A520F" w:rsidP="007E1DF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25 November </w:t>
            </w:r>
            <w:r w:rsidR="007D33AC">
              <w:rPr>
                <w:rFonts w:cs="Arial"/>
              </w:rPr>
              <w:t>2021</w:t>
            </w:r>
          </w:p>
        </w:tc>
      </w:tr>
      <w:tr w:rsidR="007E1DF8" w14:paraId="30614B7E" w14:textId="77777777" w:rsidTr="00092C63">
        <w:tc>
          <w:tcPr>
            <w:tcW w:w="3388" w:type="dxa"/>
          </w:tcPr>
          <w:p w14:paraId="5622D000" w14:textId="77777777" w:rsidR="007E1DF8" w:rsidRPr="00F92398" w:rsidRDefault="007E1DF8" w:rsidP="007E1DF8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109282A5" w14:textId="77777777" w:rsidR="007E1DF8" w:rsidRPr="00F92398" w:rsidRDefault="007E1DF8" w:rsidP="007E1DF8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4921" w:type="dxa"/>
          </w:tcPr>
          <w:p w14:paraId="2D41171E" w14:textId="77777777" w:rsidR="007E1DF8" w:rsidRDefault="007E1DF8" w:rsidP="007E1DF8">
            <w:pPr>
              <w:rPr>
                <w:rFonts w:ascii="Arial Black" w:hAnsi="Arial Black" w:cs="Arial"/>
                <w:sz w:val="28"/>
              </w:rPr>
            </w:pPr>
            <w:r>
              <w:rPr>
                <w:rFonts w:ascii="Arial Black" w:hAnsi="Arial Black" w:cs="Arial"/>
                <w:sz w:val="28"/>
              </w:rPr>
              <w:t>Information Report - Decisions taken under the Urgency Procedure - Executive</w:t>
            </w:r>
          </w:p>
          <w:p w14:paraId="5FAAA3F8" w14:textId="77777777" w:rsidR="007E1DF8" w:rsidRDefault="007E1DF8" w:rsidP="007E1DF8">
            <w:pPr>
              <w:pStyle w:val="Infotext"/>
              <w:rPr>
                <w:rFonts w:cs="Arial"/>
              </w:rPr>
            </w:pPr>
          </w:p>
        </w:tc>
      </w:tr>
      <w:tr w:rsidR="007E1DF8" w14:paraId="4C63AA76" w14:textId="77777777" w:rsidTr="00092C63">
        <w:tc>
          <w:tcPr>
            <w:tcW w:w="3388" w:type="dxa"/>
          </w:tcPr>
          <w:p w14:paraId="1F99F7EB" w14:textId="77777777" w:rsidR="007E1DF8" w:rsidRPr="00F92398" w:rsidRDefault="007E1DF8" w:rsidP="007E1DF8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70C8AF5C" w14:textId="77777777" w:rsidR="007E1DF8" w:rsidRPr="00F92398" w:rsidRDefault="007E1DF8" w:rsidP="007E1DF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34A58171" w14:textId="3520A6ED" w:rsidR="007E1DF8" w:rsidRDefault="007E1DF8" w:rsidP="007E1DF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Hugh Peart – Monitoring Officer </w:t>
            </w:r>
          </w:p>
        </w:tc>
      </w:tr>
      <w:tr w:rsidR="00A160B2" w14:paraId="4BBD44EF" w14:textId="77777777" w:rsidTr="00092C63">
        <w:tc>
          <w:tcPr>
            <w:tcW w:w="3388" w:type="dxa"/>
          </w:tcPr>
          <w:p w14:paraId="268F459D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616E5C38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61D4B56C" w14:textId="11E2C441" w:rsidR="00A160B2" w:rsidRDefault="00A160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28C5EA61" w14:textId="77777777" w:rsidR="00A160B2" w:rsidRDefault="00A160B2" w:rsidP="00460070">
            <w:pPr>
              <w:pStyle w:val="Infotext"/>
              <w:rPr>
                <w:rFonts w:cs="Arial"/>
              </w:rPr>
            </w:pPr>
          </w:p>
        </w:tc>
      </w:tr>
    </w:tbl>
    <w:p w14:paraId="322781DE" w14:textId="77777777" w:rsidR="007E1DF8" w:rsidRDefault="007E1DF8"/>
    <w:tbl>
      <w:tblPr>
        <w:tblStyle w:val="TableGridLight"/>
        <w:tblW w:w="0" w:type="auto"/>
        <w:tblLook w:val="0020" w:firstRow="1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299"/>
      </w:tblGrid>
      <w:tr w:rsidR="00A160B2" w14:paraId="63A60343" w14:textId="77777777" w:rsidTr="00092C63">
        <w:tc>
          <w:tcPr>
            <w:tcW w:w="8309" w:type="dxa"/>
            <w:tcBorders>
              <w:bottom w:val="single" w:sz="4" w:space="0" w:color="auto"/>
            </w:tcBorders>
          </w:tcPr>
          <w:p w14:paraId="194ABF9F" w14:textId="77777777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A160B2" w14:paraId="1B687BFF" w14:textId="77777777" w:rsidTr="00092C63">
        <w:tc>
          <w:tcPr>
            <w:tcW w:w="8309" w:type="dxa"/>
            <w:tcBorders>
              <w:top w:val="single" w:sz="4" w:space="0" w:color="auto"/>
            </w:tcBorders>
          </w:tcPr>
          <w:p w14:paraId="42C54048" w14:textId="6356C2E2" w:rsidR="00460070" w:rsidRDefault="00460070" w:rsidP="00460070">
            <w:r w:rsidRPr="0036406F">
              <w:t>This report sets out</w:t>
            </w:r>
            <w:r>
              <w:t xml:space="preserve"> details of decisions taken under the Urgency procedure by the Cabinet since the meeting of the Council on </w:t>
            </w:r>
            <w:r w:rsidR="00BB642A">
              <w:t xml:space="preserve">30 </w:t>
            </w:r>
            <w:r w:rsidR="007854C7">
              <w:t>September</w:t>
            </w:r>
            <w:r w:rsidR="00DA4797">
              <w:t xml:space="preserve"> 2021</w:t>
            </w:r>
            <w:r>
              <w:t>.</w:t>
            </w:r>
          </w:p>
          <w:p w14:paraId="243FE01A" w14:textId="77777777" w:rsidR="00460070" w:rsidRPr="008E37B3" w:rsidRDefault="00460070" w:rsidP="00460070">
            <w:pPr>
              <w:rPr>
                <w:rFonts w:cs="Arial"/>
                <w:color w:val="00FFFF"/>
              </w:rPr>
            </w:pPr>
          </w:p>
          <w:p w14:paraId="0C22501F" w14:textId="46937444" w:rsidR="00A160B2" w:rsidRPr="00460070" w:rsidRDefault="00460070" w:rsidP="00460070">
            <w:pPr>
              <w:ind w:left="720" w:hanging="720"/>
              <w:jc w:val="both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For Information</w:t>
            </w:r>
          </w:p>
        </w:tc>
      </w:tr>
    </w:tbl>
    <w:p w14:paraId="35E37927" w14:textId="64E2C36F" w:rsidR="005B6F7B" w:rsidRDefault="002A2389" w:rsidP="005B6F7B">
      <w:pPr>
        <w:pStyle w:val="Heading2"/>
      </w:pPr>
      <w:r>
        <w:t>Report</w:t>
      </w:r>
    </w:p>
    <w:p w14:paraId="72AB909A" w14:textId="77777777" w:rsidR="005B6F7B" w:rsidRPr="00D7344B" w:rsidRDefault="005B6F7B" w:rsidP="005B6F7B"/>
    <w:p w14:paraId="3AD75011" w14:textId="77777777" w:rsidR="005B6F7B" w:rsidRDefault="005B6F7B" w:rsidP="005B6F7B">
      <w:pPr>
        <w:rPr>
          <w:rFonts w:cs="Arial"/>
          <w:szCs w:val="24"/>
        </w:rPr>
      </w:pPr>
      <w:r>
        <w:rPr>
          <w:rFonts w:cs="Arial"/>
          <w:szCs w:val="24"/>
        </w:rPr>
        <w:t xml:space="preserve">In accordance with Committee Procedure Rule 47.6 set out in Part 4 of the Council’s Constitution, any </w:t>
      </w:r>
      <w:r w:rsidRPr="0036406F">
        <w:rPr>
          <w:rFonts w:cs="Arial"/>
          <w:szCs w:val="24"/>
        </w:rPr>
        <w:t>Executive decisions taken as a matter of urgency are reported to the next available meeting of the Council.</w:t>
      </w:r>
      <w:r>
        <w:rPr>
          <w:rFonts w:cs="Arial"/>
          <w:szCs w:val="24"/>
        </w:rPr>
        <w:t xml:space="preserve"> </w:t>
      </w:r>
    </w:p>
    <w:p w14:paraId="71277A35" w14:textId="77777777" w:rsidR="005B6F7B" w:rsidRDefault="005B6F7B" w:rsidP="005B6F7B">
      <w:pPr>
        <w:rPr>
          <w:rFonts w:cs="Arial"/>
          <w:szCs w:val="24"/>
        </w:rPr>
      </w:pPr>
    </w:p>
    <w:p w14:paraId="128841E3" w14:textId="54900B50" w:rsidR="005B6F7B" w:rsidRDefault="007854C7" w:rsidP="005B6F7B">
      <w:pPr>
        <w:rPr>
          <w:rFonts w:cs="Arial"/>
          <w:szCs w:val="24"/>
        </w:rPr>
      </w:pPr>
      <w:r>
        <w:rPr>
          <w:rFonts w:cs="Arial"/>
          <w:szCs w:val="24"/>
        </w:rPr>
        <w:t>Since the Council meeting on 30 September 2021, o</w:t>
      </w:r>
      <w:r w:rsidR="00FE075A">
        <w:rPr>
          <w:rFonts w:cs="Arial"/>
          <w:szCs w:val="24"/>
        </w:rPr>
        <w:t>ne</w:t>
      </w:r>
      <w:r w:rsidR="00151D7F">
        <w:rPr>
          <w:rFonts w:cs="Arial"/>
          <w:szCs w:val="24"/>
        </w:rPr>
        <w:t xml:space="preserve"> </w:t>
      </w:r>
      <w:r w:rsidR="005B6F7B">
        <w:rPr>
          <w:rFonts w:cs="Arial"/>
          <w:szCs w:val="24"/>
        </w:rPr>
        <w:t xml:space="preserve">such decision </w:t>
      </w:r>
      <w:r>
        <w:rPr>
          <w:rFonts w:cs="Arial"/>
          <w:szCs w:val="24"/>
        </w:rPr>
        <w:t xml:space="preserve">is due to be </w:t>
      </w:r>
      <w:r w:rsidR="005B6F7B">
        <w:rPr>
          <w:rFonts w:cs="Arial"/>
          <w:szCs w:val="24"/>
        </w:rPr>
        <w:t>taken, the details of which are below:</w:t>
      </w:r>
    </w:p>
    <w:p w14:paraId="796F8E3C" w14:textId="47B08A42" w:rsidR="007C41F7" w:rsidRDefault="007C41F7" w:rsidP="005B6F7B">
      <w:pPr>
        <w:rPr>
          <w:rFonts w:cs="Arial"/>
          <w:szCs w:val="24"/>
        </w:rPr>
      </w:pPr>
    </w:p>
    <w:tbl>
      <w:tblPr>
        <w:tblStyle w:val="TableGrid"/>
        <w:tblW w:w="9092" w:type="dxa"/>
        <w:tblLayout w:type="fixed"/>
        <w:tblLook w:val="01E0" w:firstRow="1" w:lastRow="1" w:firstColumn="1" w:lastColumn="1" w:noHBand="0" w:noVBand="0"/>
      </w:tblPr>
      <w:tblGrid>
        <w:gridCol w:w="3188"/>
        <w:gridCol w:w="2953"/>
        <w:gridCol w:w="2951"/>
      </w:tblGrid>
      <w:tr w:rsidR="007C41F7" w:rsidRPr="00CC0D36" w14:paraId="5033EAD0" w14:textId="77777777" w:rsidTr="00092C63">
        <w:tc>
          <w:tcPr>
            <w:tcW w:w="3188" w:type="dxa"/>
          </w:tcPr>
          <w:p w14:paraId="68FDDAF5" w14:textId="77777777" w:rsidR="007C41F7" w:rsidRPr="00CC0D36" w:rsidRDefault="007C41F7" w:rsidP="00FA7313">
            <w:pPr>
              <w:rPr>
                <w:rFonts w:cs="Arial"/>
                <w:b/>
                <w:szCs w:val="24"/>
              </w:rPr>
            </w:pPr>
            <w:r w:rsidRPr="00CC0D36">
              <w:rPr>
                <w:rFonts w:cs="Arial"/>
                <w:b/>
                <w:szCs w:val="24"/>
              </w:rPr>
              <w:t>Subject</w:t>
            </w:r>
          </w:p>
        </w:tc>
        <w:tc>
          <w:tcPr>
            <w:tcW w:w="2953" w:type="dxa"/>
          </w:tcPr>
          <w:p w14:paraId="6DC5CF21" w14:textId="77777777" w:rsidR="007C41F7" w:rsidRPr="00CC0D36" w:rsidRDefault="007C41F7" w:rsidP="00FA7313">
            <w:pPr>
              <w:rPr>
                <w:rFonts w:cs="Arial"/>
                <w:b/>
                <w:szCs w:val="24"/>
              </w:rPr>
            </w:pPr>
            <w:r w:rsidRPr="00CC0D36">
              <w:rPr>
                <w:rFonts w:cs="Arial"/>
                <w:b/>
                <w:szCs w:val="24"/>
              </w:rPr>
              <w:t xml:space="preserve">Decision Maker </w:t>
            </w:r>
          </w:p>
          <w:p w14:paraId="58A814EE" w14:textId="77777777" w:rsidR="007C41F7" w:rsidRPr="00CC0D36" w:rsidRDefault="007C41F7" w:rsidP="00FA7313">
            <w:pPr>
              <w:rPr>
                <w:rFonts w:cs="Arial"/>
                <w:szCs w:val="24"/>
              </w:rPr>
            </w:pPr>
          </w:p>
        </w:tc>
        <w:tc>
          <w:tcPr>
            <w:tcW w:w="2951" w:type="dxa"/>
          </w:tcPr>
          <w:p w14:paraId="4337D6B0" w14:textId="77777777" w:rsidR="007C41F7" w:rsidRPr="00CC0D36" w:rsidRDefault="007C41F7" w:rsidP="00FA7313">
            <w:pPr>
              <w:rPr>
                <w:rFonts w:cs="Arial"/>
                <w:b/>
                <w:szCs w:val="24"/>
              </w:rPr>
            </w:pPr>
            <w:r w:rsidRPr="00CC0D36">
              <w:rPr>
                <w:rFonts w:cs="Arial"/>
                <w:b/>
                <w:szCs w:val="24"/>
              </w:rPr>
              <w:t>Reason for Urgency</w:t>
            </w:r>
          </w:p>
        </w:tc>
      </w:tr>
      <w:tr w:rsidR="007C41F7" w:rsidRPr="00CC0D36" w14:paraId="00920E0A" w14:textId="77777777" w:rsidTr="00092C63">
        <w:tc>
          <w:tcPr>
            <w:tcW w:w="3188" w:type="dxa"/>
          </w:tcPr>
          <w:p w14:paraId="72C41556" w14:textId="661EF9B7" w:rsidR="007C41F7" w:rsidRDefault="007854C7" w:rsidP="00FA731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Household Support Grant</w:t>
            </w:r>
          </w:p>
        </w:tc>
        <w:tc>
          <w:tcPr>
            <w:tcW w:w="2953" w:type="dxa"/>
          </w:tcPr>
          <w:p w14:paraId="67737408" w14:textId="46CCABFB" w:rsidR="007C41F7" w:rsidRDefault="007854C7" w:rsidP="00FA731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Cabinet – 18 November 2021</w:t>
            </w:r>
          </w:p>
        </w:tc>
        <w:tc>
          <w:tcPr>
            <w:tcW w:w="2951" w:type="dxa"/>
          </w:tcPr>
          <w:p w14:paraId="320B9F2A" w14:textId="77777777" w:rsidR="005F449D" w:rsidRDefault="005F449D" w:rsidP="005F449D">
            <w:pPr>
              <w:tabs>
                <w:tab w:val="left" w:pos="6237"/>
                <w:tab w:val="left" w:pos="8010"/>
              </w:tabs>
              <w:jc w:val="both"/>
              <w:rPr>
                <w:rFonts w:eastAsia="Calibri" w:cs="Arial"/>
                <w:szCs w:val="24"/>
              </w:rPr>
            </w:pPr>
            <w:r w:rsidRPr="007854C7">
              <w:rPr>
                <w:rFonts w:eastAsia="Calibri" w:cs="Arial"/>
                <w:szCs w:val="24"/>
              </w:rPr>
              <w:t xml:space="preserve">The Department for Work and Pensions </w:t>
            </w:r>
            <w:r>
              <w:rPr>
                <w:rFonts w:eastAsia="Calibri" w:cs="Arial"/>
                <w:szCs w:val="24"/>
              </w:rPr>
              <w:t xml:space="preserve">had </w:t>
            </w:r>
            <w:r w:rsidRPr="007854C7">
              <w:rPr>
                <w:rFonts w:eastAsia="Calibri" w:cs="Arial"/>
                <w:szCs w:val="24"/>
              </w:rPr>
              <w:t>briefed Councils on the framework and guidance for the Household Support grant on 11</w:t>
            </w:r>
            <w:r>
              <w:rPr>
                <w:rFonts w:eastAsia="Calibri" w:cs="Arial"/>
                <w:szCs w:val="24"/>
              </w:rPr>
              <w:t xml:space="preserve"> </w:t>
            </w:r>
            <w:r w:rsidRPr="007854C7">
              <w:rPr>
                <w:rFonts w:eastAsia="Calibri" w:cs="Arial"/>
                <w:szCs w:val="24"/>
              </w:rPr>
              <w:t xml:space="preserve">October 2021 with three weeks to devise and </w:t>
            </w:r>
            <w:r w:rsidRPr="007854C7">
              <w:rPr>
                <w:rFonts w:eastAsia="Calibri" w:cs="Arial"/>
                <w:szCs w:val="24"/>
              </w:rPr>
              <w:lastRenderedPageBreak/>
              <w:t>submit a plan for how the fund would be operated locally. As the Council’s plan require</w:t>
            </w:r>
            <w:r>
              <w:rPr>
                <w:rFonts w:eastAsia="Calibri" w:cs="Arial"/>
                <w:szCs w:val="24"/>
              </w:rPr>
              <w:t>d</w:t>
            </w:r>
            <w:r w:rsidRPr="007854C7">
              <w:rPr>
                <w:rFonts w:eastAsia="Calibri" w:cs="Arial"/>
                <w:szCs w:val="24"/>
              </w:rPr>
              <w:t xml:space="preserve"> spend to start before Cabinet in December, it</w:t>
            </w:r>
            <w:r>
              <w:rPr>
                <w:rFonts w:eastAsia="Calibri" w:cs="Arial"/>
                <w:szCs w:val="24"/>
              </w:rPr>
              <w:t xml:space="preserve"> had been</w:t>
            </w:r>
            <w:r w:rsidRPr="007854C7">
              <w:rPr>
                <w:rFonts w:eastAsia="Calibri" w:cs="Arial"/>
                <w:szCs w:val="24"/>
              </w:rPr>
              <w:t xml:space="preserve"> necessary to report to </w:t>
            </w:r>
            <w:r>
              <w:rPr>
                <w:rFonts w:eastAsia="Calibri" w:cs="Arial"/>
                <w:szCs w:val="24"/>
              </w:rPr>
              <w:t xml:space="preserve">the </w:t>
            </w:r>
            <w:r w:rsidRPr="007854C7">
              <w:rPr>
                <w:rFonts w:eastAsia="Calibri" w:cs="Arial"/>
                <w:szCs w:val="24"/>
              </w:rPr>
              <w:t xml:space="preserve">November </w:t>
            </w:r>
            <w:r>
              <w:rPr>
                <w:rFonts w:eastAsia="Calibri" w:cs="Arial"/>
                <w:szCs w:val="24"/>
              </w:rPr>
              <w:t>meeting</w:t>
            </w:r>
            <w:r w:rsidRPr="007854C7">
              <w:rPr>
                <w:rFonts w:eastAsia="Calibri" w:cs="Arial"/>
                <w:szCs w:val="24"/>
              </w:rPr>
              <w:t xml:space="preserve">. </w:t>
            </w:r>
          </w:p>
          <w:p w14:paraId="5B950FF5" w14:textId="4D6609CE" w:rsidR="007C41F7" w:rsidRPr="002D75F7" w:rsidRDefault="007C41F7" w:rsidP="005F449D">
            <w:pPr>
              <w:tabs>
                <w:tab w:val="left" w:pos="6237"/>
                <w:tab w:val="left" w:pos="8010"/>
              </w:tabs>
              <w:jc w:val="both"/>
              <w:rPr>
                <w:rFonts w:cs="Arial"/>
                <w:szCs w:val="24"/>
                <w:lang w:eastAsia="en-GB"/>
              </w:rPr>
            </w:pPr>
          </w:p>
        </w:tc>
      </w:tr>
    </w:tbl>
    <w:p w14:paraId="5AB4E68F" w14:textId="5980D80E" w:rsidR="007C41F7" w:rsidRDefault="007C41F7" w:rsidP="005B6F7B">
      <w:pPr>
        <w:rPr>
          <w:rFonts w:cs="Arial"/>
        </w:rPr>
      </w:pPr>
    </w:p>
    <w:p w14:paraId="37455F96" w14:textId="350D26A3" w:rsidR="00802AC9" w:rsidRDefault="00802AC9" w:rsidP="00802AC9">
      <w:pPr>
        <w:rPr>
          <w:rFonts w:cs="Arial"/>
          <w:szCs w:val="24"/>
        </w:rPr>
      </w:pPr>
      <w:r w:rsidRPr="00296A43">
        <w:rPr>
          <w:rFonts w:cs="Arial"/>
          <w:szCs w:val="24"/>
        </w:rPr>
        <w:t xml:space="preserve">Ward Councillors, outside organisations and interested parties were consulted on </w:t>
      </w:r>
      <w:r>
        <w:rPr>
          <w:rFonts w:cs="Arial"/>
          <w:szCs w:val="24"/>
        </w:rPr>
        <w:t xml:space="preserve">the report </w:t>
      </w:r>
      <w:r w:rsidR="007854C7">
        <w:rPr>
          <w:rFonts w:cs="Arial"/>
          <w:szCs w:val="24"/>
        </w:rPr>
        <w:t xml:space="preserve">due to be </w:t>
      </w:r>
      <w:r>
        <w:rPr>
          <w:rFonts w:cs="Arial"/>
          <w:szCs w:val="24"/>
        </w:rPr>
        <w:t xml:space="preserve">considered </w:t>
      </w:r>
      <w:r w:rsidR="001E6295">
        <w:rPr>
          <w:rFonts w:cs="Arial"/>
          <w:szCs w:val="24"/>
        </w:rPr>
        <w:t xml:space="preserve">by </w:t>
      </w:r>
      <w:r w:rsidR="006E5810">
        <w:rPr>
          <w:rFonts w:cs="Arial"/>
          <w:szCs w:val="24"/>
        </w:rPr>
        <w:t>Cabinet, as appropriate.</w:t>
      </w:r>
    </w:p>
    <w:p w14:paraId="7B70D382" w14:textId="77777777" w:rsidR="00802AC9" w:rsidRDefault="00802AC9" w:rsidP="00802AC9">
      <w:pPr>
        <w:rPr>
          <w:rFonts w:cs="Arial"/>
          <w:szCs w:val="24"/>
        </w:rPr>
      </w:pPr>
    </w:p>
    <w:p w14:paraId="326F1026" w14:textId="1F159AD3" w:rsidR="00802AC9" w:rsidRDefault="00802AC9" w:rsidP="00802AC9">
      <w:pPr>
        <w:rPr>
          <w:rFonts w:cs="Arial"/>
          <w:szCs w:val="24"/>
        </w:rPr>
      </w:pPr>
      <w:r>
        <w:rPr>
          <w:rFonts w:cs="Arial"/>
          <w:szCs w:val="24"/>
        </w:rPr>
        <w:t>As the decision w</w:t>
      </w:r>
      <w:r w:rsidR="00FE075A">
        <w:rPr>
          <w:rFonts w:cs="Arial"/>
          <w:szCs w:val="24"/>
        </w:rPr>
        <w:t>as</w:t>
      </w:r>
      <w:r>
        <w:rPr>
          <w:rFonts w:cs="Arial"/>
          <w:szCs w:val="24"/>
        </w:rPr>
        <w:t xml:space="preserve"> deemed urgent, the agreement of the Chair of the Overview and Scrutiny Committee was obtained that the decision would not be subject to the call-in procedure.</w:t>
      </w:r>
    </w:p>
    <w:p w14:paraId="171A7794" w14:textId="6D6A1F29" w:rsidR="006E5810" w:rsidRDefault="006E5810" w:rsidP="00802AC9">
      <w:pPr>
        <w:rPr>
          <w:rFonts w:cs="Arial"/>
          <w:szCs w:val="24"/>
        </w:rPr>
      </w:pPr>
    </w:p>
    <w:p w14:paraId="44A46CE2" w14:textId="2CCF023D" w:rsidR="006E5810" w:rsidRDefault="006E5810" w:rsidP="00802AC9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General Exception</w:t>
      </w:r>
      <w:r w:rsidR="001E6295">
        <w:rPr>
          <w:rFonts w:cs="Arial"/>
          <w:b/>
          <w:bCs/>
          <w:szCs w:val="24"/>
        </w:rPr>
        <w:t>,</w:t>
      </w:r>
      <w:r>
        <w:rPr>
          <w:rFonts w:cs="Arial"/>
          <w:b/>
          <w:bCs/>
          <w:szCs w:val="24"/>
        </w:rPr>
        <w:t xml:space="preserve"> </w:t>
      </w:r>
      <w:r w:rsidRPr="006E5810">
        <w:rPr>
          <w:rFonts w:cs="Arial"/>
          <w:b/>
          <w:bCs/>
          <w:szCs w:val="24"/>
        </w:rPr>
        <w:t>Special Urgency</w:t>
      </w:r>
      <w:r w:rsidR="001E6295">
        <w:rPr>
          <w:rFonts w:cs="Arial"/>
          <w:b/>
          <w:bCs/>
          <w:szCs w:val="24"/>
        </w:rPr>
        <w:t xml:space="preserve"> and Private Meetings</w:t>
      </w:r>
    </w:p>
    <w:p w14:paraId="67105E95" w14:textId="77777777" w:rsidR="006E5810" w:rsidRDefault="006E5810" w:rsidP="00802AC9">
      <w:pPr>
        <w:rPr>
          <w:rFonts w:cs="Arial"/>
          <w:b/>
          <w:bCs/>
          <w:szCs w:val="24"/>
        </w:rPr>
      </w:pPr>
    </w:p>
    <w:p w14:paraId="21728276" w14:textId="1128F966" w:rsidR="00927C8D" w:rsidRDefault="006E5810" w:rsidP="00FE075A">
      <w:pPr>
        <w:rPr>
          <w:rFonts w:cs="Arial"/>
          <w:szCs w:val="24"/>
        </w:rPr>
      </w:pPr>
      <w:r>
        <w:rPr>
          <w:rFonts w:cs="Arial"/>
          <w:szCs w:val="24"/>
        </w:rPr>
        <w:t>In accordance with Rule 1</w:t>
      </w:r>
      <w:r w:rsidR="001D0ABA">
        <w:rPr>
          <w:rFonts w:cs="Arial"/>
          <w:szCs w:val="24"/>
        </w:rPr>
        <w:t>6</w:t>
      </w:r>
      <w:r>
        <w:rPr>
          <w:rFonts w:cs="Arial"/>
          <w:szCs w:val="24"/>
        </w:rPr>
        <w:t xml:space="preserve"> of the Access to Information Procedure Rules, the Chair of the Overview and Scrutiny Committee </w:t>
      </w:r>
      <w:r w:rsidR="007854C7">
        <w:rPr>
          <w:rFonts w:cs="Arial"/>
          <w:szCs w:val="24"/>
        </w:rPr>
        <w:t xml:space="preserve">was notified </w:t>
      </w:r>
      <w:r>
        <w:rPr>
          <w:rFonts w:cs="Arial"/>
          <w:szCs w:val="24"/>
        </w:rPr>
        <w:t xml:space="preserve">that the </w:t>
      </w:r>
      <w:r w:rsidR="00435AB3">
        <w:rPr>
          <w:rFonts w:cs="Arial"/>
          <w:szCs w:val="24"/>
        </w:rPr>
        <w:t xml:space="preserve">key </w:t>
      </w:r>
      <w:r>
        <w:rPr>
          <w:rFonts w:cs="Arial"/>
          <w:szCs w:val="24"/>
        </w:rPr>
        <w:t>decision</w:t>
      </w:r>
      <w:r w:rsidR="00435AB3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in relation </w:t>
      </w:r>
      <w:r w:rsidR="00FE075A" w:rsidRPr="00FE075A">
        <w:rPr>
          <w:rFonts w:cs="Arial"/>
          <w:szCs w:val="24"/>
        </w:rPr>
        <w:t xml:space="preserve">to the following </w:t>
      </w:r>
      <w:r w:rsidR="007854C7">
        <w:rPr>
          <w:rFonts w:cs="Arial"/>
          <w:szCs w:val="24"/>
        </w:rPr>
        <w:t xml:space="preserve">reports </w:t>
      </w:r>
      <w:r w:rsidR="00FE075A" w:rsidRPr="00FE075A">
        <w:rPr>
          <w:rFonts w:cs="Arial"/>
          <w:szCs w:val="24"/>
        </w:rPr>
        <w:t>to Cabinet</w:t>
      </w:r>
      <w:r w:rsidR="00435AB3" w:rsidRPr="00FE075A">
        <w:rPr>
          <w:rFonts w:cs="Arial"/>
          <w:szCs w:val="24"/>
        </w:rPr>
        <w:t>,</w:t>
      </w:r>
      <w:r w:rsidR="00435AB3" w:rsidRPr="00151D7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which had not been included on the Key Decision Schedule</w:t>
      </w:r>
      <w:r w:rsidR="00927C8D">
        <w:rPr>
          <w:rFonts w:cs="Arial"/>
          <w:szCs w:val="24"/>
        </w:rPr>
        <w:t>,</w:t>
      </w:r>
      <w:r w:rsidR="00FE075A">
        <w:rPr>
          <w:rFonts w:cs="Arial"/>
          <w:szCs w:val="24"/>
        </w:rPr>
        <w:t xml:space="preserve"> </w:t>
      </w:r>
      <w:r w:rsidR="007854C7">
        <w:rPr>
          <w:rFonts w:cs="Arial"/>
          <w:szCs w:val="24"/>
        </w:rPr>
        <w:t>w</w:t>
      </w:r>
      <w:r>
        <w:rPr>
          <w:rFonts w:cs="Arial"/>
          <w:szCs w:val="24"/>
        </w:rPr>
        <w:t>ould be taken</w:t>
      </w:r>
      <w:r w:rsidR="00927C8D">
        <w:rPr>
          <w:rFonts w:cs="Arial"/>
          <w:szCs w:val="24"/>
        </w:rPr>
        <w:t>:</w:t>
      </w:r>
    </w:p>
    <w:p w14:paraId="4301C899" w14:textId="77777777" w:rsidR="00927C8D" w:rsidRDefault="00927C8D" w:rsidP="00FE075A">
      <w:pPr>
        <w:rPr>
          <w:rFonts w:cs="Arial"/>
          <w:szCs w:val="24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766"/>
        <w:gridCol w:w="2766"/>
        <w:gridCol w:w="3252"/>
      </w:tblGrid>
      <w:tr w:rsidR="00927C8D" w14:paraId="2B3E8450" w14:textId="77777777" w:rsidTr="00D30D3D">
        <w:tc>
          <w:tcPr>
            <w:tcW w:w="2766" w:type="dxa"/>
          </w:tcPr>
          <w:p w14:paraId="4ED515AD" w14:textId="71B8F744" w:rsidR="00927C8D" w:rsidRPr="00927C8D" w:rsidRDefault="00927C8D" w:rsidP="00FE075A">
            <w:pPr>
              <w:rPr>
                <w:rFonts w:cs="Arial"/>
                <w:b/>
                <w:bCs/>
                <w:szCs w:val="24"/>
              </w:rPr>
            </w:pPr>
            <w:r w:rsidRPr="00927C8D">
              <w:rPr>
                <w:rFonts w:cs="Arial"/>
                <w:b/>
                <w:bCs/>
                <w:szCs w:val="24"/>
              </w:rPr>
              <w:t xml:space="preserve">Subject </w:t>
            </w:r>
          </w:p>
        </w:tc>
        <w:tc>
          <w:tcPr>
            <w:tcW w:w="2766" w:type="dxa"/>
          </w:tcPr>
          <w:p w14:paraId="5FAD68E2" w14:textId="3BBCE8D5" w:rsidR="00927C8D" w:rsidRPr="00927C8D" w:rsidRDefault="00927C8D" w:rsidP="00FE075A">
            <w:pPr>
              <w:rPr>
                <w:rFonts w:cs="Arial"/>
                <w:b/>
                <w:bCs/>
                <w:szCs w:val="24"/>
              </w:rPr>
            </w:pPr>
            <w:r w:rsidRPr="00927C8D">
              <w:rPr>
                <w:rFonts w:cs="Arial"/>
                <w:b/>
                <w:bCs/>
                <w:szCs w:val="24"/>
              </w:rPr>
              <w:t>Decision Maker</w:t>
            </w:r>
          </w:p>
        </w:tc>
        <w:tc>
          <w:tcPr>
            <w:tcW w:w="3252" w:type="dxa"/>
          </w:tcPr>
          <w:p w14:paraId="1A9D9A8B" w14:textId="25DD0D5B" w:rsidR="00927C8D" w:rsidRPr="00927C8D" w:rsidRDefault="00927C8D" w:rsidP="00FE075A">
            <w:pPr>
              <w:rPr>
                <w:rFonts w:cs="Arial"/>
                <w:b/>
                <w:bCs/>
                <w:szCs w:val="24"/>
              </w:rPr>
            </w:pPr>
            <w:r w:rsidRPr="00927C8D">
              <w:rPr>
                <w:rFonts w:cs="Arial"/>
                <w:b/>
                <w:bCs/>
                <w:szCs w:val="24"/>
              </w:rPr>
              <w:t>Reason for Urgency</w:t>
            </w:r>
          </w:p>
        </w:tc>
      </w:tr>
      <w:tr w:rsidR="00927C8D" w14:paraId="37BD2AE8" w14:textId="77777777" w:rsidTr="00D30D3D">
        <w:tc>
          <w:tcPr>
            <w:tcW w:w="2766" w:type="dxa"/>
          </w:tcPr>
          <w:p w14:paraId="6B750511" w14:textId="77777777" w:rsidR="00927C8D" w:rsidRDefault="00BB642A" w:rsidP="00FE075A">
            <w:pPr>
              <w:rPr>
                <w:rFonts w:cs="Arial"/>
                <w:color w:val="242424"/>
                <w:shd w:val="clear" w:color="auto" w:fill="FFFFFF"/>
              </w:rPr>
            </w:pPr>
            <w:r w:rsidRPr="00BB642A">
              <w:rPr>
                <w:rFonts w:cs="Arial"/>
                <w:color w:val="242424"/>
                <w:shd w:val="clear" w:color="auto" w:fill="FFFFFF"/>
              </w:rPr>
              <w:t>Frameworks for Minor Works, Electrical Works, Mechanical Works, Professional Services and Planned and Preventative Maintenance and Compliance (PPM&amp;C)</w:t>
            </w:r>
          </w:p>
          <w:p w14:paraId="1866C549" w14:textId="03C303CA" w:rsidR="00342777" w:rsidRPr="00BB642A" w:rsidRDefault="00342777" w:rsidP="00FE075A">
            <w:pPr>
              <w:rPr>
                <w:rFonts w:cs="Arial"/>
                <w:szCs w:val="24"/>
              </w:rPr>
            </w:pPr>
          </w:p>
        </w:tc>
        <w:tc>
          <w:tcPr>
            <w:tcW w:w="2766" w:type="dxa"/>
          </w:tcPr>
          <w:p w14:paraId="39AB3B4A" w14:textId="32702BE3" w:rsidR="00927C8D" w:rsidRDefault="00927C8D" w:rsidP="00FE075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Cabinet – </w:t>
            </w:r>
            <w:r w:rsidR="00BB642A">
              <w:rPr>
                <w:rFonts w:cs="Arial"/>
                <w:szCs w:val="24"/>
              </w:rPr>
              <w:t>18 November</w:t>
            </w:r>
            <w:r>
              <w:rPr>
                <w:rFonts w:cs="Arial"/>
                <w:szCs w:val="24"/>
              </w:rPr>
              <w:t xml:space="preserve"> 2021</w:t>
            </w:r>
          </w:p>
        </w:tc>
        <w:tc>
          <w:tcPr>
            <w:tcW w:w="3252" w:type="dxa"/>
          </w:tcPr>
          <w:p w14:paraId="7EF6FA16" w14:textId="644EDD91" w:rsidR="007854C7" w:rsidRPr="007854C7" w:rsidRDefault="007854C7" w:rsidP="007854C7">
            <w:pPr>
              <w:rPr>
                <w:rFonts w:eastAsia="Calibri" w:cs="Arial"/>
                <w:color w:val="000000"/>
                <w:szCs w:val="24"/>
              </w:rPr>
            </w:pPr>
            <w:r w:rsidRPr="007854C7">
              <w:rPr>
                <w:rFonts w:eastAsia="Calibri" w:cs="Arial"/>
                <w:szCs w:val="22"/>
                <w:lang w:eastAsia="en-GB"/>
              </w:rPr>
              <w:t xml:space="preserve">It had taken officers longer than anticipated to complete </w:t>
            </w:r>
            <w:r w:rsidRPr="007854C7">
              <w:rPr>
                <w:rFonts w:eastAsia="Calibri"/>
                <w:szCs w:val="22"/>
              </w:rPr>
              <w:t>the detailed proposal for the new framework contracts</w:t>
            </w:r>
            <w:r w:rsidR="00D30D3D">
              <w:rPr>
                <w:rFonts w:eastAsia="Calibri"/>
                <w:szCs w:val="22"/>
              </w:rPr>
              <w:t xml:space="preserve"> </w:t>
            </w:r>
            <w:r w:rsidR="005F449D">
              <w:rPr>
                <w:rFonts w:eastAsia="Calibri"/>
                <w:szCs w:val="22"/>
              </w:rPr>
              <w:t xml:space="preserve">to make sure </w:t>
            </w:r>
            <w:r w:rsidR="00D30D3D">
              <w:rPr>
                <w:rFonts w:eastAsia="Calibri"/>
                <w:szCs w:val="22"/>
              </w:rPr>
              <w:t>that</w:t>
            </w:r>
            <w:r w:rsidRPr="007854C7">
              <w:rPr>
                <w:rFonts w:eastAsia="Calibri"/>
                <w:szCs w:val="22"/>
              </w:rPr>
              <w:t xml:space="preserve"> the</w:t>
            </w:r>
            <w:r w:rsidR="00D30D3D">
              <w:rPr>
                <w:rFonts w:eastAsia="Calibri"/>
                <w:szCs w:val="22"/>
              </w:rPr>
              <w:t>y included</w:t>
            </w:r>
            <w:r w:rsidRPr="007854C7">
              <w:rPr>
                <w:rFonts w:eastAsia="Calibri"/>
                <w:szCs w:val="22"/>
              </w:rPr>
              <w:t xml:space="preserve"> all the safeguards required to ensure the contractors perform</w:t>
            </w:r>
            <w:r w:rsidR="001D0ABA">
              <w:rPr>
                <w:rFonts w:eastAsia="Calibri"/>
                <w:szCs w:val="22"/>
              </w:rPr>
              <w:t>ed</w:t>
            </w:r>
            <w:r w:rsidRPr="007854C7">
              <w:rPr>
                <w:rFonts w:eastAsia="Calibri"/>
                <w:szCs w:val="22"/>
              </w:rPr>
              <w:t xml:space="preserve"> and deliver</w:t>
            </w:r>
            <w:r w:rsidR="001D0ABA">
              <w:rPr>
                <w:rFonts w:eastAsia="Calibri"/>
                <w:szCs w:val="22"/>
              </w:rPr>
              <w:t>ed</w:t>
            </w:r>
            <w:r w:rsidRPr="007854C7">
              <w:rPr>
                <w:rFonts w:eastAsia="Calibri"/>
                <w:szCs w:val="22"/>
              </w:rPr>
              <w:t xml:space="preserve"> a quality service to Harrow Council.</w:t>
            </w:r>
            <w:r w:rsidRPr="007854C7">
              <w:rPr>
                <w:rFonts w:eastAsia="Calibri" w:cs="Arial"/>
                <w:color w:val="000000"/>
                <w:szCs w:val="24"/>
              </w:rPr>
              <w:t xml:space="preserve"> </w:t>
            </w:r>
          </w:p>
          <w:p w14:paraId="790E6171" w14:textId="77777777" w:rsidR="00927C8D" w:rsidRDefault="00927C8D" w:rsidP="00FE075A">
            <w:pPr>
              <w:rPr>
                <w:rFonts w:cs="Arial"/>
                <w:szCs w:val="24"/>
              </w:rPr>
            </w:pPr>
          </w:p>
        </w:tc>
      </w:tr>
      <w:tr w:rsidR="00342777" w14:paraId="065498C9" w14:textId="77777777" w:rsidTr="00D30D3D">
        <w:tc>
          <w:tcPr>
            <w:tcW w:w="2766" w:type="dxa"/>
          </w:tcPr>
          <w:p w14:paraId="3AFBDC81" w14:textId="77777777" w:rsidR="00342777" w:rsidRDefault="00342777" w:rsidP="00FE075A">
            <w:pPr>
              <w:rPr>
                <w:rFonts w:eastAsia="Calibri"/>
                <w:bCs/>
                <w:iCs/>
                <w:szCs w:val="22"/>
              </w:rPr>
            </w:pPr>
            <w:r w:rsidRPr="00342777">
              <w:rPr>
                <w:rFonts w:eastAsia="Calibri"/>
                <w:bCs/>
                <w:iCs/>
                <w:szCs w:val="22"/>
              </w:rPr>
              <w:t>Award of Contract for Provision and Hosting of Pensions Administration IT System</w:t>
            </w:r>
          </w:p>
          <w:p w14:paraId="06669DA3" w14:textId="03504F38" w:rsidR="00342777" w:rsidRPr="00342777" w:rsidRDefault="00342777" w:rsidP="00FE075A">
            <w:pPr>
              <w:rPr>
                <w:rFonts w:cs="Arial"/>
                <w:bCs/>
                <w:color w:val="242424"/>
                <w:shd w:val="clear" w:color="auto" w:fill="FFFFFF"/>
              </w:rPr>
            </w:pPr>
          </w:p>
        </w:tc>
        <w:tc>
          <w:tcPr>
            <w:tcW w:w="2766" w:type="dxa"/>
          </w:tcPr>
          <w:p w14:paraId="29BA2233" w14:textId="4775EAFD" w:rsidR="00342777" w:rsidRDefault="00342777" w:rsidP="00FE075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Cabinet – 18 November 2021</w:t>
            </w:r>
          </w:p>
        </w:tc>
        <w:tc>
          <w:tcPr>
            <w:tcW w:w="3252" w:type="dxa"/>
          </w:tcPr>
          <w:p w14:paraId="64BEC9E7" w14:textId="716C684B" w:rsidR="001D0ABA" w:rsidRDefault="005F449D" w:rsidP="00FE075A">
            <w:pPr>
              <w:rPr>
                <w:rFonts w:cs="Arial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F</w:t>
            </w:r>
            <w:r w:rsidR="007854C7" w:rsidRPr="007854C7">
              <w:rPr>
                <w:rFonts w:eastAsia="Calibri" w:cs="Arial"/>
                <w:color w:val="000000"/>
                <w:szCs w:val="24"/>
              </w:rPr>
              <w:t>ollowing Cabinet approval</w:t>
            </w:r>
            <w:r w:rsidR="00D30D3D">
              <w:rPr>
                <w:rFonts w:eastAsia="Calibri" w:cs="Arial"/>
                <w:color w:val="000000"/>
                <w:szCs w:val="24"/>
              </w:rPr>
              <w:t xml:space="preserve"> June 2021</w:t>
            </w:r>
            <w:r w:rsidR="007854C7" w:rsidRPr="007854C7">
              <w:rPr>
                <w:rFonts w:eastAsia="Calibri" w:cs="Arial"/>
                <w:color w:val="000000"/>
                <w:szCs w:val="24"/>
              </w:rPr>
              <w:t xml:space="preserve">, it became evident that the rules of the framework required an 18-month implementation phase should a new provider win the procurement exercise. The current contract </w:t>
            </w:r>
            <w:r>
              <w:rPr>
                <w:rFonts w:eastAsia="Calibri" w:cs="Arial"/>
                <w:color w:val="000000"/>
                <w:szCs w:val="24"/>
              </w:rPr>
              <w:t xml:space="preserve">had </w:t>
            </w:r>
            <w:r w:rsidR="007854C7" w:rsidRPr="007854C7">
              <w:rPr>
                <w:rFonts w:eastAsia="Calibri" w:cs="Arial"/>
                <w:color w:val="000000"/>
                <w:szCs w:val="24"/>
              </w:rPr>
              <w:t xml:space="preserve">ended in October and </w:t>
            </w:r>
            <w:r>
              <w:rPr>
                <w:rFonts w:eastAsia="Calibri" w:cs="Arial"/>
                <w:color w:val="000000"/>
                <w:szCs w:val="24"/>
              </w:rPr>
              <w:t>there had been</w:t>
            </w:r>
            <w:r w:rsidR="007854C7" w:rsidRPr="007854C7">
              <w:rPr>
                <w:rFonts w:eastAsia="Calibri" w:cs="Arial"/>
                <w:color w:val="000000"/>
                <w:szCs w:val="24"/>
              </w:rPr>
              <w:t xml:space="preserve"> no time to go through a lengthy procurement exercise. The incumbent ha</w:t>
            </w:r>
            <w:r w:rsidR="001D0ABA">
              <w:rPr>
                <w:rFonts w:eastAsia="Calibri" w:cs="Arial"/>
                <w:color w:val="000000"/>
                <w:szCs w:val="24"/>
              </w:rPr>
              <w:t>d</w:t>
            </w:r>
            <w:r w:rsidR="007854C7" w:rsidRPr="007854C7">
              <w:rPr>
                <w:rFonts w:eastAsia="Calibri" w:cs="Arial"/>
                <w:color w:val="000000"/>
                <w:szCs w:val="24"/>
              </w:rPr>
              <w:t xml:space="preserve"> agreed to a new contract award for a minimum of 5 years. </w:t>
            </w:r>
            <w:bookmarkStart w:id="0" w:name="_GoBack"/>
            <w:bookmarkEnd w:id="0"/>
          </w:p>
        </w:tc>
      </w:tr>
      <w:tr w:rsidR="00342777" w14:paraId="13E5BFEF" w14:textId="77777777" w:rsidTr="00D30D3D">
        <w:tc>
          <w:tcPr>
            <w:tcW w:w="2766" w:type="dxa"/>
          </w:tcPr>
          <w:p w14:paraId="77D0DC95" w14:textId="77777777" w:rsidR="00342777" w:rsidRPr="00342777" w:rsidRDefault="00342777" w:rsidP="00342777">
            <w:pPr>
              <w:contextualSpacing/>
              <w:rPr>
                <w:rFonts w:eastAsia="Calibri" w:cs="Arial"/>
                <w:bCs/>
                <w:iCs/>
                <w:szCs w:val="22"/>
              </w:rPr>
            </w:pPr>
            <w:r w:rsidRPr="00342777">
              <w:rPr>
                <w:rFonts w:eastAsia="Calibri" w:cs="Arial"/>
                <w:bCs/>
                <w:iCs/>
                <w:szCs w:val="22"/>
              </w:rPr>
              <w:lastRenderedPageBreak/>
              <w:t>Household Support Fund’</w:t>
            </w:r>
          </w:p>
          <w:p w14:paraId="21BDBAF5" w14:textId="77777777" w:rsidR="00342777" w:rsidRPr="00342777" w:rsidRDefault="00342777" w:rsidP="00342777">
            <w:pPr>
              <w:contextualSpacing/>
              <w:rPr>
                <w:rFonts w:cs="Arial"/>
                <w:bCs/>
                <w:color w:val="242424"/>
                <w:shd w:val="clear" w:color="auto" w:fill="FFFFFF"/>
              </w:rPr>
            </w:pPr>
          </w:p>
        </w:tc>
        <w:tc>
          <w:tcPr>
            <w:tcW w:w="2766" w:type="dxa"/>
          </w:tcPr>
          <w:p w14:paraId="06BA1582" w14:textId="4BA6C2A4" w:rsidR="00342777" w:rsidRDefault="00342777" w:rsidP="00FE075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Cabinet – 18 November 2021</w:t>
            </w:r>
          </w:p>
        </w:tc>
        <w:tc>
          <w:tcPr>
            <w:tcW w:w="3252" w:type="dxa"/>
          </w:tcPr>
          <w:p w14:paraId="05AB8E6F" w14:textId="42CA5CA4" w:rsidR="00342777" w:rsidRDefault="007854C7" w:rsidP="005F449D">
            <w:pPr>
              <w:tabs>
                <w:tab w:val="left" w:pos="6237"/>
                <w:tab w:val="left" w:pos="8010"/>
              </w:tabs>
              <w:jc w:val="both"/>
              <w:rPr>
                <w:rFonts w:eastAsia="Calibri" w:cs="Arial"/>
                <w:szCs w:val="24"/>
              </w:rPr>
            </w:pPr>
            <w:r w:rsidRPr="007854C7">
              <w:rPr>
                <w:rFonts w:eastAsia="Calibri" w:cs="Arial"/>
                <w:szCs w:val="24"/>
              </w:rPr>
              <w:t xml:space="preserve">The Department for Work and Pensions </w:t>
            </w:r>
            <w:r w:rsidR="005F449D">
              <w:rPr>
                <w:rFonts w:eastAsia="Calibri" w:cs="Arial"/>
                <w:szCs w:val="24"/>
              </w:rPr>
              <w:t xml:space="preserve">had </w:t>
            </w:r>
            <w:r w:rsidRPr="007854C7">
              <w:rPr>
                <w:rFonts w:eastAsia="Calibri" w:cs="Arial"/>
                <w:szCs w:val="24"/>
              </w:rPr>
              <w:t>briefed Councils on the framework and guidance for the Household Support grant on 11</w:t>
            </w:r>
            <w:r w:rsidR="001D0ABA">
              <w:rPr>
                <w:rFonts w:eastAsia="Calibri" w:cs="Arial"/>
                <w:szCs w:val="24"/>
              </w:rPr>
              <w:t xml:space="preserve"> </w:t>
            </w:r>
            <w:r w:rsidRPr="007854C7">
              <w:rPr>
                <w:rFonts w:eastAsia="Calibri" w:cs="Arial"/>
                <w:szCs w:val="24"/>
              </w:rPr>
              <w:t>October 2021 with three weeks to devise and submit a plan for how the fund would be operated locally. As the Council’s plan require</w:t>
            </w:r>
            <w:r w:rsidR="005F449D">
              <w:rPr>
                <w:rFonts w:eastAsia="Calibri" w:cs="Arial"/>
                <w:szCs w:val="24"/>
              </w:rPr>
              <w:t>d</w:t>
            </w:r>
            <w:r w:rsidRPr="007854C7">
              <w:rPr>
                <w:rFonts w:eastAsia="Calibri" w:cs="Arial"/>
                <w:szCs w:val="24"/>
              </w:rPr>
              <w:t xml:space="preserve"> spend to start </w:t>
            </w:r>
            <w:r w:rsidR="005F449D" w:rsidRPr="007854C7">
              <w:rPr>
                <w:rFonts w:eastAsia="Calibri" w:cs="Arial"/>
                <w:szCs w:val="24"/>
              </w:rPr>
              <w:t>before Cabinet</w:t>
            </w:r>
            <w:r w:rsidRPr="007854C7">
              <w:rPr>
                <w:rFonts w:eastAsia="Calibri" w:cs="Arial"/>
                <w:szCs w:val="24"/>
              </w:rPr>
              <w:t xml:space="preserve"> in December, it</w:t>
            </w:r>
            <w:r w:rsidR="005F449D">
              <w:rPr>
                <w:rFonts w:eastAsia="Calibri" w:cs="Arial"/>
                <w:szCs w:val="24"/>
              </w:rPr>
              <w:t xml:space="preserve"> had been</w:t>
            </w:r>
            <w:r w:rsidRPr="007854C7">
              <w:rPr>
                <w:rFonts w:eastAsia="Calibri" w:cs="Arial"/>
                <w:szCs w:val="24"/>
              </w:rPr>
              <w:t xml:space="preserve"> necessary to report to </w:t>
            </w:r>
            <w:r w:rsidR="005F449D">
              <w:rPr>
                <w:rFonts w:eastAsia="Calibri" w:cs="Arial"/>
                <w:szCs w:val="24"/>
              </w:rPr>
              <w:t xml:space="preserve">the </w:t>
            </w:r>
            <w:r w:rsidRPr="007854C7">
              <w:rPr>
                <w:rFonts w:eastAsia="Calibri" w:cs="Arial"/>
                <w:szCs w:val="24"/>
              </w:rPr>
              <w:t xml:space="preserve">November </w:t>
            </w:r>
            <w:r w:rsidR="005F449D">
              <w:rPr>
                <w:rFonts w:eastAsia="Calibri" w:cs="Arial"/>
                <w:szCs w:val="24"/>
              </w:rPr>
              <w:t>meeting</w:t>
            </w:r>
            <w:r w:rsidRPr="007854C7">
              <w:rPr>
                <w:rFonts w:eastAsia="Calibri" w:cs="Arial"/>
                <w:szCs w:val="24"/>
              </w:rPr>
              <w:t xml:space="preserve">. </w:t>
            </w:r>
          </w:p>
          <w:p w14:paraId="2BD7E12A" w14:textId="67C82E78" w:rsidR="005F449D" w:rsidRDefault="005F449D" w:rsidP="005F449D">
            <w:pPr>
              <w:tabs>
                <w:tab w:val="left" w:pos="6237"/>
                <w:tab w:val="left" w:pos="8010"/>
              </w:tabs>
              <w:jc w:val="both"/>
              <w:rPr>
                <w:rFonts w:cs="Arial"/>
                <w:szCs w:val="24"/>
              </w:rPr>
            </w:pPr>
          </w:p>
        </w:tc>
      </w:tr>
      <w:tr w:rsidR="00342777" w14:paraId="3E58FCFC" w14:textId="77777777" w:rsidTr="00D30D3D">
        <w:tc>
          <w:tcPr>
            <w:tcW w:w="2766" w:type="dxa"/>
          </w:tcPr>
          <w:p w14:paraId="163EF210" w14:textId="2A2C006D" w:rsidR="00342777" w:rsidRPr="00342777" w:rsidRDefault="00342777" w:rsidP="00342777">
            <w:pPr>
              <w:contextualSpacing/>
              <w:rPr>
                <w:rFonts w:eastAsia="Calibri"/>
                <w:bCs/>
                <w:iCs/>
                <w:szCs w:val="22"/>
              </w:rPr>
            </w:pPr>
            <w:r w:rsidRPr="00342777">
              <w:rPr>
                <w:rFonts w:eastAsia="Calibri"/>
                <w:bCs/>
                <w:iCs/>
                <w:szCs w:val="22"/>
              </w:rPr>
              <w:t>Milton Road Development - Transfer to Harrow Strategic Development Partnership</w:t>
            </w:r>
          </w:p>
          <w:p w14:paraId="361D33CB" w14:textId="77777777" w:rsidR="00342777" w:rsidRPr="00342777" w:rsidRDefault="00342777" w:rsidP="00FE075A">
            <w:pPr>
              <w:rPr>
                <w:rFonts w:cs="Arial"/>
                <w:bCs/>
                <w:color w:val="242424"/>
                <w:shd w:val="clear" w:color="auto" w:fill="FFFFFF"/>
              </w:rPr>
            </w:pPr>
          </w:p>
        </w:tc>
        <w:tc>
          <w:tcPr>
            <w:tcW w:w="2766" w:type="dxa"/>
          </w:tcPr>
          <w:p w14:paraId="1958BEA7" w14:textId="5785F727" w:rsidR="00342777" w:rsidRDefault="00342777" w:rsidP="00FE075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Cabinet – 18 November 2021</w:t>
            </w:r>
          </w:p>
        </w:tc>
        <w:tc>
          <w:tcPr>
            <w:tcW w:w="3252" w:type="dxa"/>
          </w:tcPr>
          <w:p w14:paraId="6CED544E" w14:textId="77777777" w:rsidR="005F449D" w:rsidRDefault="00580A8E" w:rsidP="007854C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In order to satisfy the terms of the Greater London Authority (GLA) grant funding, the Council must start work on </w:t>
            </w:r>
          </w:p>
          <w:p w14:paraId="37AD6467" w14:textId="099D26FC" w:rsidR="007854C7" w:rsidRPr="007854C7" w:rsidRDefault="00580A8E" w:rsidP="007854C7">
            <w:pPr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4"/>
              </w:rPr>
              <w:t xml:space="preserve">site by the deadline of 31 March 2022. </w:t>
            </w:r>
            <w:r w:rsidR="007854C7" w:rsidRPr="007854C7">
              <w:rPr>
                <w:rFonts w:eastAsia="Calibri" w:cs="Arial"/>
                <w:szCs w:val="22"/>
              </w:rPr>
              <w:t>Given this time imperative, the matter must be put to Cabinet in November as a delay would jeopardise meeting the GLA deadline.</w:t>
            </w:r>
          </w:p>
          <w:p w14:paraId="7C96C037" w14:textId="210478B4" w:rsidR="001D0ABA" w:rsidRDefault="001D0ABA" w:rsidP="00FE075A">
            <w:pPr>
              <w:rPr>
                <w:rFonts w:cs="Arial"/>
                <w:szCs w:val="24"/>
              </w:rPr>
            </w:pPr>
          </w:p>
        </w:tc>
      </w:tr>
    </w:tbl>
    <w:p w14:paraId="1B3A6327" w14:textId="41039F44" w:rsidR="006E5810" w:rsidRDefault="001E6295" w:rsidP="00FE075A">
      <w:pPr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5F918236" w14:textId="77777777" w:rsidR="007854C7" w:rsidRDefault="00342777" w:rsidP="00912904">
      <w:pPr>
        <w:pStyle w:val="Heading2"/>
        <w:keepNext/>
        <w:spacing w:after="2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FF6D00">
        <w:rPr>
          <w:rFonts w:ascii="Arial" w:hAnsi="Arial"/>
          <w:sz w:val="24"/>
          <w:szCs w:val="24"/>
        </w:rPr>
        <w:t xml:space="preserve">ince the last report to Council </w:t>
      </w:r>
      <w:r>
        <w:rPr>
          <w:rFonts w:ascii="Arial" w:hAnsi="Arial"/>
          <w:sz w:val="24"/>
          <w:szCs w:val="24"/>
        </w:rPr>
        <w:t>it has not been necessary to seek</w:t>
      </w:r>
      <w:r w:rsidR="00FF6D00">
        <w:rPr>
          <w:rFonts w:ascii="Arial" w:hAnsi="Arial"/>
          <w:sz w:val="24"/>
          <w:szCs w:val="24"/>
        </w:rPr>
        <w:t xml:space="preserve"> </w:t>
      </w:r>
      <w:r w:rsidR="007854C7">
        <w:rPr>
          <w:rFonts w:ascii="Arial" w:hAnsi="Arial"/>
          <w:sz w:val="24"/>
          <w:szCs w:val="24"/>
        </w:rPr>
        <w:t xml:space="preserve">the </w:t>
      </w:r>
      <w:r w:rsidR="00FF6D00">
        <w:rPr>
          <w:rFonts w:ascii="Arial" w:hAnsi="Arial"/>
          <w:sz w:val="24"/>
          <w:szCs w:val="24"/>
        </w:rPr>
        <w:t xml:space="preserve">agreement </w:t>
      </w:r>
      <w:r w:rsidR="007854C7">
        <w:rPr>
          <w:rFonts w:ascii="Arial" w:hAnsi="Arial"/>
          <w:sz w:val="24"/>
          <w:szCs w:val="24"/>
        </w:rPr>
        <w:t>of</w:t>
      </w:r>
      <w:r w:rsidR="00FF6D00">
        <w:rPr>
          <w:rFonts w:ascii="Arial" w:hAnsi="Arial"/>
          <w:sz w:val="24"/>
          <w:szCs w:val="24"/>
        </w:rPr>
        <w:t xml:space="preserve"> the Chair of the Overview and Scrutiny Committee for Cabinet to meet in private</w:t>
      </w:r>
      <w:r>
        <w:rPr>
          <w:rFonts w:ascii="Arial" w:hAnsi="Arial"/>
          <w:sz w:val="24"/>
          <w:szCs w:val="24"/>
        </w:rPr>
        <w:t xml:space="preserve"> and nor has the Special Urgency Procedure been used.</w:t>
      </w:r>
    </w:p>
    <w:p w14:paraId="3BECE9C8" w14:textId="216FF833" w:rsidR="002A2389" w:rsidRDefault="002A2389" w:rsidP="00912904">
      <w:pPr>
        <w:pStyle w:val="Heading2"/>
        <w:keepNext/>
        <w:spacing w:after="240"/>
      </w:pPr>
      <w:r>
        <w:t>Contact Details and Background Papers</w:t>
      </w:r>
    </w:p>
    <w:p w14:paraId="2206AD15" w14:textId="77777777" w:rsidR="005E3F57" w:rsidRPr="00342777" w:rsidRDefault="005E3F57" w:rsidP="005E3F57">
      <w:pPr>
        <w:pStyle w:val="Infotext"/>
        <w:rPr>
          <w:sz w:val="24"/>
          <w:szCs w:val="24"/>
        </w:rPr>
      </w:pPr>
      <w:r w:rsidRPr="00342777">
        <w:rPr>
          <w:sz w:val="24"/>
          <w:szCs w:val="24"/>
        </w:rPr>
        <w:t>Elaine McEachron, Democratic &amp; Electoral Services Manager</w:t>
      </w:r>
    </w:p>
    <w:p w14:paraId="752ACA01" w14:textId="3964347E" w:rsidR="005E3F57" w:rsidRDefault="005E3F57" w:rsidP="005E3F57">
      <w:pPr>
        <w:rPr>
          <w:rFonts w:cs="Arial"/>
        </w:rPr>
      </w:pPr>
      <w:r>
        <w:rPr>
          <w:rFonts w:cs="Arial"/>
        </w:rPr>
        <w:t>Tel:  020 8424 1097</w:t>
      </w:r>
    </w:p>
    <w:p w14:paraId="05947E3B" w14:textId="612A7DBB" w:rsidR="005E3F57" w:rsidRDefault="005E3F57" w:rsidP="005E3F57">
      <w:pPr>
        <w:rPr>
          <w:rFonts w:cs="Arial"/>
        </w:rPr>
      </w:pPr>
      <w:r>
        <w:rPr>
          <w:rFonts w:cs="Arial"/>
        </w:rPr>
        <w:t xml:space="preserve">E-mail:  </w:t>
      </w:r>
      <w:hyperlink r:id="rId8" w:history="1">
        <w:r w:rsidRPr="00B44C69">
          <w:rPr>
            <w:rStyle w:val="Hyperlink"/>
            <w:rFonts w:cs="Arial"/>
          </w:rPr>
          <w:t>elaine.mceachron@harrow.gov.uk</w:t>
        </w:r>
      </w:hyperlink>
      <w:r>
        <w:rPr>
          <w:rFonts w:cs="Arial"/>
        </w:rPr>
        <w:t xml:space="preserve"> </w:t>
      </w:r>
    </w:p>
    <w:p w14:paraId="2CBB4645" w14:textId="77777777" w:rsidR="005E3F57" w:rsidRDefault="005E3F57" w:rsidP="005E3F57">
      <w:pPr>
        <w:rPr>
          <w:rFonts w:cs="Arial"/>
        </w:rPr>
      </w:pPr>
    </w:p>
    <w:p w14:paraId="27839EAF" w14:textId="544DA6C9" w:rsidR="005E3F57" w:rsidRDefault="005E3F57" w:rsidP="005E3F57">
      <w:pPr>
        <w:pStyle w:val="Infotext"/>
        <w:rPr>
          <w:b/>
        </w:rPr>
      </w:pPr>
      <w:r w:rsidRPr="004B7F92">
        <w:rPr>
          <w:b/>
        </w:rPr>
        <w:t>Background Papers:</w:t>
      </w:r>
    </w:p>
    <w:p w14:paraId="7F6B5C56" w14:textId="77777777" w:rsidR="005E3F57" w:rsidRDefault="005E3F57" w:rsidP="005E3F57">
      <w:pPr>
        <w:pStyle w:val="Infotext"/>
      </w:pPr>
      <w:r>
        <w:t>Council’s Constitution</w:t>
      </w:r>
    </w:p>
    <w:p w14:paraId="1757743A" w14:textId="77777777" w:rsidR="00342777" w:rsidRDefault="00342777" w:rsidP="00342777">
      <w:pPr>
        <w:contextualSpacing/>
      </w:pPr>
    </w:p>
    <w:p w14:paraId="5AC64904" w14:textId="7417B17A" w:rsidR="00342777" w:rsidRPr="00342777" w:rsidRDefault="005E3F57" w:rsidP="00342777">
      <w:pPr>
        <w:contextualSpacing/>
        <w:rPr>
          <w:rFonts w:eastAsia="Calibri" w:cs="Arial"/>
          <w:b/>
          <w:iCs/>
          <w:szCs w:val="22"/>
        </w:rPr>
      </w:pPr>
      <w:r>
        <w:t>Rep</w:t>
      </w:r>
      <w:r w:rsidR="00FE075A">
        <w:t xml:space="preserve">orts </w:t>
      </w:r>
      <w:r w:rsidR="00580A8E">
        <w:t xml:space="preserve">to be </w:t>
      </w:r>
      <w:r w:rsidR="00FE075A">
        <w:t xml:space="preserve">considered by Cabinet on </w:t>
      </w:r>
      <w:r w:rsidR="00BB642A">
        <w:t>18 November</w:t>
      </w:r>
      <w:r w:rsidR="00FE075A">
        <w:t xml:space="preserve"> 2021</w:t>
      </w:r>
    </w:p>
    <w:p w14:paraId="1899AB9D" w14:textId="1B15191E" w:rsidR="00342777" w:rsidRPr="00342777" w:rsidRDefault="00342777" w:rsidP="007854C7">
      <w:pPr>
        <w:ind w:left="567"/>
        <w:contextualSpacing/>
        <w:rPr>
          <w:rFonts w:eastAsia="Calibri"/>
          <w:b/>
          <w:iCs/>
          <w:szCs w:val="22"/>
        </w:rPr>
      </w:pPr>
    </w:p>
    <w:p w14:paraId="0994AAFB" w14:textId="5A595D42" w:rsidR="002A2389" w:rsidRDefault="002A2389" w:rsidP="005E3F57">
      <w:pPr>
        <w:pStyle w:val="Infotext"/>
      </w:pPr>
    </w:p>
    <w:p w14:paraId="064577C9" w14:textId="32110DF2" w:rsidR="00342777" w:rsidRDefault="00342777" w:rsidP="005E3F57">
      <w:pPr>
        <w:pStyle w:val="Infotext"/>
      </w:pPr>
    </w:p>
    <w:p w14:paraId="5350D208" w14:textId="77777777" w:rsidR="00342777" w:rsidRDefault="00342777" w:rsidP="005E3F57">
      <w:pPr>
        <w:pStyle w:val="Infotext"/>
      </w:pPr>
    </w:p>
    <w:sectPr w:rsidR="00342777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E1799" w14:textId="77777777" w:rsidR="00E609EF" w:rsidRDefault="00E609EF">
      <w:r>
        <w:separator/>
      </w:r>
    </w:p>
  </w:endnote>
  <w:endnote w:type="continuationSeparator" w:id="0">
    <w:p w14:paraId="7206C9C7" w14:textId="77777777" w:rsidR="00E609EF" w:rsidRDefault="00E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5AE1F" w14:textId="77777777" w:rsidR="00E609EF" w:rsidRDefault="00E609EF">
      <w:r>
        <w:separator/>
      </w:r>
    </w:p>
  </w:footnote>
  <w:footnote w:type="continuationSeparator" w:id="0">
    <w:p w14:paraId="360D37EA" w14:textId="77777777" w:rsidR="00E609EF" w:rsidRDefault="00E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567"/>
        </w:tabs>
        <w:ind w:left="3567" w:hanging="360"/>
      </w:pPr>
    </w:lvl>
    <w:lvl w:ilvl="2" w:tplc="08090005">
      <w:start w:val="1"/>
      <w:numFmt w:val="decimal"/>
      <w:lvlText w:val="%3."/>
      <w:lvlJc w:val="left"/>
      <w:pPr>
        <w:tabs>
          <w:tab w:val="num" w:pos="4287"/>
        </w:tabs>
        <w:ind w:left="4287" w:hanging="360"/>
      </w:pPr>
    </w:lvl>
    <w:lvl w:ilvl="3" w:tplc="0809000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8090003">
      <w:start w:val="1"/>
      <w:numFmt w:val="decimal"/>
      <w:lvlText w:val="%5."/>
      <w:lvlJc w:val="left"/>
      <w:pPr>
        <w:tabs>
          <w:tab w:val="num" w:pos="5727"/>
        </w:tabs>
        <w:ind w:left="5727" w:hanging="360"/>
      </w:pPr>
    </w:lvl>
    <w:lvl w:ilvl="5" w:tplc="08090005">
      <w:start w:val="1"/>
      <w:numFmt w:val="decimal"/>
      <w:lvlText w:val="%6."/>
      <w:lvlJc w:val="left"/>
      <w:pPr>
        <w:tabs>
          <w:tab w:val="num" w:pos="6447"/>
        </w:tabs>
        <w:ind w:left="6447" w:hanging="360"/>
      </w:pPr>
    </w:lvl>
    <w:lvl w:ilvl="6" w:tplc="0809000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8090003">
      <w:start w:val="1"/>
      <w:numFmt w:val="decimal"/>
      <w:lvlText w:val="%8."/>
      <w:lvlJc w:val="left"/>
      <w:pPr>
        <w:tabs>
          <w:tab w:val="num" w:pos="7887"/>
        </w:tabs>
        <w:ind w:left="7887" w:hanging="360"/>
      </w:pPr>
    </w:lvl>
    <w:lvl w:ilvl="8" w:tplc="08090005">
      <w:start w:val="1"/>
      <w:numFmt w:val="decimal"/>
      <w:lvlText w:val="%9."/>
      <w:lvlJc w:val="left"/>
      <w:pPr>
        <w:tabs>
          <w:tab w:val="num" w:pos="8607"/>
        </w:tabs>
        <w:ind w:left="8607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34221"/>
    <w:multiLevelType w:val="hybridMultilevel"/>
    <w:tmpl w:val="0FB25C68"/>
    <w:lvl w:ilvl="0" w:tplc="08090011">
      <w:start w:val="1"/>
      <w:numFmt w:val="decimal"/>
      <w:lvlText w:val="%1)"/>
      <w:lvlJc w:val="left"/>
      <w:pPr>
        <w:ind w:left="1352" w:hanging="360"/>
      </w:pPr>
    </w:lvl>
    <w:lvl w:ilvl="1" w:tplc="08090019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D5D5C"/>
    <w:multiLevelType w:val="hybridMultilevel"/>
    <w:tmpl w:val="5FB8871E"/>
    <w:lvl w:ilvl="0" w:tplc="6C580A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E1A01"/>
    <w:multiLevelType w:val="hybridMultilevel"/>
    <w:tmpl w:val="FE8E1858"/>
    <w:lvl w:ilvl="0" w:tplc="7A8A9BA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12"/>
  </w:num>
  <w:num w:numId="11">
    <w:abstractNumId w:val="16"/>
  </w:num>
  <w:num w:numId="12">
    <w:abstractNumId w:val="11"/>
  </w:num>
  <w:num w:numId="13">
    <w:abstractNumId w:val="2"/>
  </w:num>
  <w:num w:numId="14">
    <w:abstractNumId w:val="6"/>
  </w:num>
  <w:num w:numId="15">
    <w:abstractNumId w:val="7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57F10"/>
    <w:rsid w:val="000633A2"/>
    <w:rsid w:val="000679D2"/>
    <w:rsid w:val="00071EB4"/>
    <w:rsid w:val="00077298"/>
    <w:rsid w:val="00092C63"/>
    <w:rsid w:val="000A58A1"/>
    <w:rsid w:val="000A6659"/>
    <w:rsid w:val="000B0E6F"/>
    <w:rsid w:val="000B6DBB"/>
    <w:rsid w:val="000D2BF2"/>
    <w:rsid w:val="000F65C0"/>
    <w:rsid w:val="00151D7F"/>
    <w:rsid w:val="001939BA"/>
    <w:rsid w:val="001A6EB0"/>
    <w:rsid w:val="001B441D"/>
    <w:rsid w:val="001C5225"/>
    <w:rsid w:val="001D0ABA"/>
    <w:rsid w:val="001E0219"/>
    <w:rsid w:val="001E6295"/>
    <w:rsid w:val="00213BE7"/>
    <w:rsid w:val="00231A1D"/>
    <w:rsid w:val="00244120"/>
    <w:rsid w:val="00293F9F"/>
    <w:rsid w:val="002A2389"/>
    <w:rsid w:val="002C08E2"/>
    <w:rsid w:val="002C1794"/>
    <w:rsid w:val="002E6637"/>
    <w:rsid w:val="002E77E3"/>
    <w:rsid w:val="00305A9C"/>
    <w:rsid w:val="00305C2A"/>
    <w:rsid w:val="00332947"/>
    <w:rsid w:val="00333EB4"/>
    <w:rsid w:val="00342777"/>
    <w:rsid w:val="00345915"/>
    <w:rsid w:val="00365D29"/>
    <w:rsid w:val="00374F22"/>
    <w:rsid w:val="003D2FFE"/>
    <w:rsid w:val="00400032"/>
    <w:rsid w:val="0042394B"/>
    <w:rsid w:val="00435AB3"/>
    <w:rsid w:val="00460070"/>
    <w:rsid w:val="00473B08"/>
    <w:rsid w:val="00474B5F"/>
    <w:rsid w:val="004A3CE6"/>
    <w:rsid w:val="004B2C9D"/>
    <w:rsid w:val="004B4A47"/>
    <w:rsid w:val="004E667D"/>
    <w:rsid w:val="004E6AF9"/>
    <w:rsid w:val="005031DF"/>
    <w:rsid w:val="00580A8E"/>
    <w:rsid w:val="00597314"/>
    <w:rsid w:val="005A61AF"/>
    <w:rsid w:val="005B6F7B"/>
    <w:rsid w:val="005D0886"/>
    <w:rsid w:val="005E384D"/>
    <w:rsid w:val="005E3F57"/>
    <w:rsid w:val="005F2181"/>
    <w:rsid w:val="005F449D"/>
    <w:rsid w:val="005F724B"/>
    <w:rsid w:val="00625DFF"/>
    <w:rsid w:val="0063072B"/>
    <w:rsid w:val="00662891"/>
    <w:rsid w:val="006628B7"/>
    <w:rsid w:val="00675FCB"/>
    <w:rsid w:val="006840AC"/>
    <w:rsid w:val="006A520F"/>
    <w:rsid w:val="006C3914"/>
    <w:rsid w:val="006D3648"/>
    <w:rsid w:val="006E5810"/>
    <w:rsid w:val="0074184E"/>
    <w:rsid w:val="00743829"/>
    <w:rsid w:val="00755F8D"/>
    <w:rsid w:val="007854C7"/>
    <w:rsid w:val="00796503"/>
    <w:rsid w:val="007C41F7"/>
    <w:rsid w:val="007D2BDA"/>
    <w:rsid w:val="007D33AC"/>
    <w:rsid w:val="007D56C8"/>
    <w:rsid w:val="007E1DF8"/>
    <w:rsid w:val="007E3934"/>
    <w:rsid w:val="007E7303"/>
    <w:rsid w:val="00802AC9"/>
    <w:rsid w:val="008212A0"/>
    <w:rsid w:val="00837F53"/>
    <w:rsid w:val="008D1750"/>
    <w:rsid w:val="008D7800"/>
    <w:rsid w:val="008E2910"/>
    <w:rsid w:val="008E4913"/>
    <w:rsid w:val="00900464"/>
    <w:rsid w:val="0090100E"/>
    <w:rsid w:val="00912904"/>
    <w:rsid w:val="00927C8D"/>
    <w:rsid w:val="0093767E"/>
    <w:rsid w:val="00972A02"/>
    <w:rsid w:val="0099517C"/>
    <w:rsid w:val="009A0937"/>
    <w:rsid w:val="009B2ECD"/>
    <w:rsid w:val="009B7914"/>
    <w:rsid w:val="009F430B"/>
    <w:rsid w:val="00A160B2"/>
    <w:rsid w:val="00A566E7"/>
    <w:rsid w:val="00A940D3"/>
    <w:rsid w:val="00A96FCA"/>
    <w:rsid w:val="00AA2720"/>
    <w:rsid w:val="00AA4BE8"/>
    <w:rsid w:val="00AC0AAB"/>
    <w:rsid w:val="00AC7BA9"/>
    <w:rsid w:val="00B0425E"/>
    <w:rsid w:val="00B900E2"/>
    <w:rsid w:val="00B9118E"/>
    <w:rsid w:val="00BB642A"/>
    <w:rsid w:val="00BD6115"/>
    <w:rsid w:val="00BD684A"/>
    <w:rsid w:val="00C32DAE"/>
    <w:rsid w:val="00C40E24"/>
    <w:rsid w:val="00C61B80"/>
    <w:rsid w:val="00C92D9A"/>
    <w:rsid w:val="00C96EF5"/>
    <w:rsid w:val="00CB60D1"/>
    <w:rsid w:val="00D25064"/>
    <w:rsid w:val="00D27E67"/>
    <w:rsid w:val="00D30D3D"/>
    <w:rsid w:val="00D32B51"/>
    <w:rsid w:val="00D34668"/>
    <w:rsid w:val="00D3740E"/>
    <w:rsid w:val="00D40335"/>
    <w:rsid w:val="00D82F57"/>
    <w:rsid w:val="00D841A5"/>
    <w:rsid w:val="00D914D2"/>
    <w:rsid w:val="00DA25DB"/>
    <w:rsid w:val="00DA4797"/>
    <w:rsid w:val="00DB0791"/>
    <w:rsid w:val="00DD4251"/>
    <w:rsid w:val="00E02B50"/>
    <w:rsid w:val="00E03F11"/>
    <w:rsid w:val="00E06DC8"/>
    <w:rsid w:val="00E220B5"/>
    <w:rsid w:val="00E33D93"/>
    <w:rsid w:val="00E609EF"/>
    <w:rsid w:val="00E8515B"/>
    <w:rsid w:val="00E90AFF"/>
    <w:rsid w:val="00EF2F91"/>
    <w:rsid w:val="00F33EE3"/>
    <w:rsid w:val="00F4213B"/>
    <w:rsid w:val="00F849ED"/>
    <w:rsid w:val="00F92398"/>
    <w:rsid w:val="00FD31A0"/>
    <w:rsid w:val="00FE075A"/>
    <w:rsid w:val="00FF6AAD"/>
    <w:rsid w:val="00FF6D00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3CA3E888"/>
  <w15:docId w15:val="{29E890B1-5994-49F6-A4B9-FEB4BD8C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F57"/>
    <w:rPr>
      <w:color w:val="605E5C"/>
      <w:shd w:val="clear" w:color="auto" w:fill="E1DFDD"/>
    </w:rPr>
  </w:style>
  <w:style w:type="table" w:styleId="TableGrid">
    <w:name w:val="Table Grid"/>
    <w:basedOn w:val="TableNormal"/>
    <w:rsid w:val="00092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92C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151D7F"/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.mceachron@harrow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648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4182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Alison Atherton</cp:lastModifiedBy>
  <cp:revision>5</cp:revision>
  <cp:lastPrinted>2007-07-12T09:53:00Z</cp:lastPrinted>
  <dcterms:created xsi:type="dcterms:W3CDTF">2021-10-26T11:50:00Z</dcterms:created>
  <dcterms:modified xsi:type="dcterms:W3CDTF">2021-11-17T10:42:00Z</dcterms:modified>
</cp:coreProperties>
</file>